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8DFAF" w14:textId="4490691D" w:rsidR="006506A7" w:rsidRPr="008644ED" w:rsidRDefault="006B5CA0" w:rsidP="006B5CA0">
      <w:pPr>
        <w:jc w:val="center"/>
        <w:rPr>
          <w:rFonts w:ascii="Open Sans" w:eastAsia="Open Sans" w:hAnsi="Open Sans" w:cs="Open Sans"/>
          <w:b/>
          <w:color w:val="17365D" w:themeColor="text2" w:themeShade="BF"/>
          <w:sz w:val="44"/>
          <w:szCs w:val="44"/>
        </w:rPr>
      </w:pPr>
      <w:r w:rsidRPr="008644ED">
        <w:rPr>
          <w:rFonts w:ascii="Open Sans" w:eastAsia="Open Sans" w:hAnsi="Open Sans" w:cs="Open Sans"/>
          <w:b/>
          <w:color w:val="17365D" w:themeColor="text2" w:themeShade="BF"/>
          <w:sz w:val="44"/>
          <w:szCs w:val="44"/>
        </w:rPr>
        <w:t xml:space="preserve">Research &amp; Campaigns </w:t>
      </w:r>
      <w:r w:rsidR="00107695">
        <w:rPr>
          <w:rFonts w:ascii="Open Sans" w:eastAsia="Open Sans" w:hAnsi="Open Sans" w:cs="Open Sans"/>
          <w:b/>
          <w:color w:val="17365D" w:themeColor="text2" w:themeShade="BF"/>
          <w:sz w:val="44"/>
          <w:szCs w:val="44"/>
        </w:rPr>
        <w:t xml:space="preserve">Quarterly </w:t>
      </w:r>
      <w:r w:rsidRPr="008644ED">
        <w:rPr>
          <w:rFonts w:ascii="Open Sans" w:eastAsia="Open Sans" w:hAnsi="Open Sans" w:cs="Open Sans"/>
          <w:b/>
          <w:color w:val="17365D" w:themeColor="text2" w:themeShade="BF"/>
          <w:sz w:val="44"/>
          <w:szCs w:val="44"/>
        </w:rPr>
        <w:t>Briefing</w:t>
      </w:r>
    </w:p>
    <w:p w14:paraId="1BF9EF61" w14:textId="43CEE6AA" w:rsidR="006B5CA0" w:rsidRPr="008644ED" w:rsidRDefault="0055729C" w:rsidP="006B5CA0">
      <w:pPr>
        <w:jc w:val="center"/>
        <w:rPr>
          <w:rFonts w:ascii="Open Sans" w:eastAsia="Open Sans" w:hAnsi="Open Sans" w:cs="Open Sans"/>
          <w:b/>
          <w:color w:val="17365D" w:themeColor="text2" w:themeShade="BF"/>
          <w:sz w:val="32"/>
          <w:szCs w:val="32"/>
        </w:rPr>
      </w:pPr>
      <w:r>
        <w:rPr>
          <w:rFonts w:ascii="Open Sans" w:eastAsia="Open Sans" w:hAnsi="Open Sans" w:cs="Open Sans"/>
          <w:b/>
          <w:color w:val="17365D" w:themeColor="text2" w:themeShade="BF"/>
          <w:sz w:val="32"/>
          <w:szCs w:val="32"/>
        </w:rPr>
        <w:t>February 2025</w:t>
      </w:r>
    </w:p>
    <w:p w14:paraId="5E61158F" w14:textId="05F75DCC" w:rsidR="00641C83" w:rsidRPr="008644ED" w:rsidRDefault="00641C83">
      <w:pPr>
        <w:rPr>
          <w:rFonts w:ascii="Open Sans" w:eastAsia="Open Sans" w:hAnsi="Open Sans" w:cs="Open Sans"/>
          <w:color w:val="17365D" w:themeColor="text2" w:themeShade="BF"/>
          <w:sz w:val="24"/>
          <w:szCs w:val="24"/>
        </w:rPr>
      </w:pPr>
    </w:p>
    <w:p w14:paraId="7DD621EA" w14:textId="77777777" w:rsidR="008644ED" w:rsidRPr="008644ED" w:rsidRDefault="008644ED">
      <w:pPr>
        <w:rPr>
          <w:rFonts w:ascii="Open Sans" w:eastAsia="Open Sans" w:hAnsi="Open Sans" w:cs="Open Sans"/>
          <w:color w:val="17365D" w:themeColor="text2" w:themeShade="BF"/>
          <w:sz w:val="24"/>
          <w:szCs w:val="24"/>
        </w:rPr>
      </w:pPr>
    </w:p>
    <w:p w14:paraId="4D84E710" w14:textId="77777777" w:rsidR="006B5CA0" w:rsidRPr="00936757" w:rsidRDefault="006B5CA0" w:rsidP="003B4B15">
      <w:pPr>
        <w:rPr>
          <w:rFonts w:ascii="Open Sans" w:hAnsi="Open Sans" w:cs="Open Sans"/>
          <w:color w:val="FF0000"/>
          <w:sz w:val="24"/>
          <w:szCs w:val="24"/>
        </w:rPr>
      </w:pPr>
      <w:r w:rsidRPr="00936757">
        <w:rPr>
          <w:rFonts w:ascii="Open Sans" w:eastAsia="Open Sans" w:hAnsi="Open Sans" w:cs="Open Sans"/>
          <w:color w:val="1F497D" w:themeColor="text2"/>
          <w:sz w:val="24"/>
          <w:szCs w:val="24"/>
        </w:rPr>
        <w:t>Current work:</w:t>
      </w:r>
      <w:r w:rsidR="00347007" w:rsidRPr="00936757">
        <w:rPr>
          <w:rFonts w:ascii="Open Sans" w:hAnsi="Open Sans" w:cs="Open Sans"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0599AF" wp14:editId="2DE5CC4E">
            <wp:simplePos x="0" y="0"/>
            <wp:positionH relativeFrom="column">
              <wp:posOffset>-40005</wp:posOffset>
            </wp:positionH>
            <wp:positionV relativeFrom="paragraph">
              <wp:posOffset>422275</wp:posOffset>
            </wp:positionV>
            <wp:extent cx="855980" cy="882015"/>
            <wp:effectExtent l="0" t="0" r="1270" b="0"/>
            <wp:wrapTight wrapText="bothSides">
              <wp:wrapPolygon edited="0">
                <wp:start x="0" y="0"/>
                <wp:lineTo x="0" y="20994"/>
                <wp:lineTo x="21151" y="20994"/>
                <wp:lineTo x="211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2CD96" w14:textId="575AF869" w:rsidR="002726C0" w:rsidRPr="00DE4788" w:rsidRDefault="002726C0" w:rsidP="000D6FE3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bookmarkStart w:id="0" w:name="_Hlk41463651"/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We </w:t>
      </w:r>
      <w:r w:rsidR="000F2FB0" w:rsidRPr="00DE4788">
        <w:rPr>
          <w:rFonts w:ascii="Open Sans" w:hAnsi="Open Sans" w:cs="Open Sans"/>
          <w:color w:val="1F497D" w:themeColor="text2"/>
          <w:sz w:val="24"/>
          <w:szCs w:val="24"/>
        </w:rPr>
        <w:t>continue to be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393975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actively engaged in promoting Anti-racism and Black History 365 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>through presence at events and social media activities</w:t>
      </w:r>
      <w:r w:rsidR="00EB4D72">
        <w:rPr>
          <w:rFonts w:ascii="Open Sans" w:hAnsi="Open Sans" w:cs="Open Sans"/>
          <w:color w:val="1F497D" w:themeColor="text2"/>
          <w:sz w:val="24"/>
          <w:szCs w:val="24"/>
        </w:rPr>
        <w:t xml:space="preserve">, </w:t>
      </w:r>
      <w:r w:rsidR="00185BC0">
        <w:rPr>
          <w:rFonts w:ascii="Open Sans" w:hAnsi="Open Sans" w:cs="Open Sans"/>
          <w:color w:val="1F497D" w:themeColor="text2"/>
          <w:sz w:val="24"/>
          <w:szCs w:val="24"/>
        </w:rPr>
        <w:t xml:space="preserve">   </w:t>
      </w:r>
    </w:p>
    <w:p w14:paraId="2DE99301" w14:textId="12A91A97" w:rsidR="00B650F2" w:rsidRPr="00DE4788" w:rsidRDefault="00B650F2" w:rsidP="000D6FE3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We are members of a steering group with representatives from the third sector, public sector and private sector, aimed at making Mid and West Wales a </w:t>
      </w:r>
      <w:r w:rsidR="00675E3E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real 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>Living Wage region.</w:t>
      </w:r>
      <w:r w:rsidR="000F2FB0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54022B">
        <w:rPr>
          <w:rFonts w:ascii="Open Sans" w:hAnsi="Open Sans" w:cs="Open Sans"/>
          <w:color w:val="1F497D" w:themeColor="text2"/>
          <w:sz w:val="24"/>
          <w:szCs w:val="24"/>
        </w:rPr>
        <w:t>And this week is Living Wage Week.</w:t>
      </w:r>
    </w:p>
    <w:bookmarkEnd w:id="0"/>
    <w:p w14:paraId="4786C17C" w14:textId="592805D4" w:rsidR="00893885" w:rsidRPr="00DE4788" w:rsidRDefault="009F2321" w:rsidP="00644520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We </w:t>
      </w:r>
      <w:r w:rsidR="00C07B0E" w:rsidRPr="00DE4788">
        <w:rPr>
          <w:rFonts w:ascii="Open Sans" w:hAnsi="Open Sans" w:cs="Open Sans"/>
          <w:color w:val="1F497D" w:themeColor="text2"/>
          <w:sz w:val="24"/>
          <w:szCs w:val="24"/>
        </w:rPr>
        <w:t>continue to work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on a long term study into the impact of the cost of living crisis on our clients. </w:t>
      </w:r>
      <w:r w:rsidR="00644520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</w:p>
    <w:p w14:paraId="23164328" w14:textId="77777777" w:rsidR="00644520" w:rsidRPr="00644520" w:rsidRDefault="00644520" w:rsidP="00644520">
      <w:pPr>
        <w:pStyle w:val="ListParagraph"/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1E8B7671" w14:textId="77777777" w:rsidR="008644ED" w:rsidRPr="00854386" w:rsidRDefault="008644ED" w:rsidP="00641C83">
      <w:pPr>
        <w:jc w:val="both"/>
        <w:rPr>
          <w:rFonts w:ascii="Open Sans" w:hAnsi="Open Sans" w:cs="Open Sans"/>
          <w:color w:val="FF0000"/>
          <w:sz w:val="24"/>
          <w:szCs w:val="24"/>
        </w:rPr>
      </w:pPr>
    </w:p>
    <w:p w14:paraId="17B97BEE" w14:textId="77777777" w:rsidR="006B5CA0" w:rsidRPr="007A2689" w:rsidRDefault="00347007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1F4A38">
        <w:rPr>
          <w:rFonts w:ascii="Open Sans" w:hAnsi="Open Sans" w:cs="Open Sans"/>
          <w:color w:val="17365D" w:themeColor="text2" w:themeShade="BF"/>
          <w:sz w:val="24"/>
          <w:szCs w:val="24"/>
        </w:rPr>
        <w:t xml:space="preserve">What we’ve </w:t>
      </w:r>
      <w:r w:rsidRPr="007A2689">
        <w:rPr>
          <w:rFonts w:ascii="Open Sans" w:hAnsi="Open Sans" w:cs="Open Sans"/>
          <w:color w:val="1F497D" w:themeColor="text2"/>
          <w:sz w:val="24"/>
          <w:szCs w:val="24"/>
        </w:rPr>
        <w:t>just finished:</w:t>
      </w:r>
    </w:p>
    <w:p w14:paraId="7BD55B98" w14:textId="7084657C" w:rsidR="00185BC0" w:rsidRDefault="00185BC0" w:rsidP="00E20D86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>
        <w:rPr>
          <w:rFonts w:ascii="Open Sans" w:hAnsi="Open Sans" w:cs="Open Sans"/>
          <w:color w:val="1F497D" w:themeColor="text2"/>
          <w:sz w:val="24"/>
          <w:szCs w:val="24"/>
        </w:rPr>
        <w:t xml:space="preserve">In December 2024 we published </w:t>
      </w:r>
      <w:hyperlink r:id="rId9" w:history="1">
        <w:r w:rsidRPr="00185BC0">
          <w:rPr>
            <w:rStyle w:val="Hyperlink"/>
            <w:rFonts w:ascii="Open Sans" w:hAnsi="Open Sans" w:cs="Open Sans"/>
            <w:sz w:val="24"/>
            <w:szCs w:val="24"/>
          </w:rPr>
          <w:t>Disconnected</w:t>
        </w:r>
      </w:hyperlink>
      <w:r w:rsidRPr="00185BC0">
        <w:rPr>
          <w:rFonts w:ascii="Open Sans" w:hAnsi="Open Sans" w:cs="Open Sans"/>
          <w:color w:val="1F497D" w:themeColor="text2"/>
          <w:sz w:val="24"/>
          <w:szCs w:val="24"/>
        </w:rPr>
        <w:t>: How Digital Exclusion Blocks Access to Universal Credit</w:t>
      </w:r>
      <w:r w:rsidR="009370DE">
        <w:rPr>
          <w:rFonts w:ascii="Open Sans" w:hAnsi="Open Sans" w:cs="Open Sans"/>
          <w:color w:val="1F497D" w:themeColor="text2"/>
          <w:sz w:val="24"/>
          <w:szCs w:val="24"/>
        </w:rPr>
        <w:t>, our study into the impact of digital exclusion on those peopple facing managed igration on UC.</w:t>
      </w:r>
    </w:p>
    <w:p w14:paraId="3C8148F2" w14:textId="16F80FB9" w:rsidR="00E20D86" w:rsidRPr="00DE4788" w:rsidRDefault="00854386" w:rsidP="00E20D86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In the last 3 months our advisers have sent </w:t>
      </w:r>
      <w:r w:rsidR="0055729C">
        <w:rPr>
          <w:rFonts w:ascii="Open Sans" w:hAnsi="Open Sans" w:cs="Open Sans"/>
          <w:color w:val="1F497D" w:themeColor="text2"/>
          <w:sz w:val="24"/>
          <w:szCs w:val="24"/>
        </w:rPr>
        <w:t>15</w:t>
      </w:r>
      <w:r w:rsidRPr="00EB4D72">
        <w:rPr>
          <w:rFonts w:ascii="Open Sans" w:hAnsi="Open Sans" w:cs="Open Sans"/>
          <w:color w:val="1F497D" w:themeColor="text2"/>
          <w:sz w:val="24"/>
          <w:szCs w:val="24"/>
        </w:rPr>
        <w:t xml:space="preserve"> Evidence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Forms to national Citizens Advice</w:t>
      </w:r>
      <w:r w:rsidR="00505423">
        <w:rPr>
          <w:rFonts w:ascii="Open Sans" w:hAnsi="Open Sans" w:cs="Open Sans"/>
          <w:color w:val="1F497D" w:themeColor="text2"/>
          <w:sz w:val="24"/>
          <w:szCs w:val="24"/>
        </w:rPr>
        <w:t>,</w:t>
      </w:r>
      <w:r w:rsidR="00995949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gained </w:t>
      </w:r>
      <w:r w:rsidR="00505423">
        <w:rPr>
          <w:rFonts w:ascii="Open Sans" w:hAnsi="Open Sans" w:cs="Open Sans"/>
          <w:color w:val="1F497D" w:themeColor="text2"/>
          <w:sz w:val="24"/>
          <w:szCs w:val="24"/>
        </w:rPr>
        <w:t>over £</w:t>
      </w:r>
      <w:r w:rsidR="0055729C">
        <w:rPr>
          <w:rFonts w:ascii="Open Sans" w:hAnsi="Open Sans" w:cs="Open Sans"/>
          <w:color w:val="1F497D" w:themeColor="text2"/>
          <w:sz w:val="24"/>
          <w:szCs w:val="24"/>
        </w:rPr>
        <w:t>995,000</w:t>
      </w:r>
      <w:r w:rsidR="001F4A38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in income for our clients</w:t>
      </w:r>
      <w:r w:rsidR="00505423">
        <w:rPr>
          <w:rFonts w:ascii="Open Sans" w:hAnsi="Open Sans" w:cs="Open Sans"/>
          <w:color w:val="1F497D" w:themeColor="text2"/>
          <w:sz w:val="24"/>
          <w:szCs w:val="24"/>
        </w:rPr>
        <w:t>, and had over £</w:t>
      </w:r>
      <w:r w:rsidR="0055729C">
        <w:rPr>
          <w:rFonts w:ascii="Open Sans" w:hAnsi="Open Sans" w:cs="Open Sans"/>
          <w:color w:val="1F497D" w:themeColor="text2"/>
          <w:sz w:val="24"/>
          <w:szCs w:val="24"/>
        </w:rPr>
        <w:t>500</w:t>
      </w:r>
      <w:r w:rsidR="00505423">
        <w:rPr>
          <w:rFonts w:ascii="Open Sans" w:hAnsi="Open Sans" w:cs="Open Sans"/>
          <w:color w:val="1F497D" w:themeColor="text2"/>
          <w:sz w:val="24"/>
          <w:szCs w:val="24"/>
        </w:rPr>
        <w:t>,000 of debts written off.</w:t>
      </w:r>
    </w:p>
    <w:p w14:paraId="1233E93C" w14:textId="1A778109" w:rsidR="0008026F" w:rsidRPr="00DE4788" w:rsidRDefault="0008026F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759DE925" w14:textId="77777777" w:rsidR="008644ED" w:rsidRPr="00DE4788" w:rsidRDefault="008644ED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11145F09" w14:textId="77777777" w:rsidR="00347007" w:rsidRPr="00107695" w:rsidRDefault="00347007" w:rsidP="00641C83">
      <w:pPr>
        <w:jc w:val="both"/>
        <w:rPr>
          <w:rFonts w:ascii="Open Sans" w:hAnsi="Open Sans" w:cs="Open Sans"/>
          <w:color w:val="17365D" w:themeColor="text2" w:themeShade="BF"/>
          <w:sz w:val="24"/>
          <w:szCs w:val="24"/>
        </w:rPr>
      </w:pPr>
      <w:r w:rsidRPr="00107695">
        <w:rPr>
          <w:rFonts w:ascii="Open Sans" w:hAnsi="Open Sans" w:cs="Open Sans"/>
          <w:color w:val="17365D" w:themeColor="text2" w:themeShade="BF"/>
          <w:sz w:val="24"/>
          <w:szCs w:val="24"/>
        </w:rPr>
        <w:t>What’s next:</w:t>
      </w:r>
    </w:p>
    <w:p w14:paraId="54C94BC6" w14:textId="5E6973FE" w:rsidR="00801793" w:rsidRPr="00E20D86" w:rsidRDefault="00801793" w:rsidP="006148BA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E20D86">
        <w:rPr>
          <w:rFonts w:ascii="Open Sans" w:hAnsi="Open Sans" w:cs="Open Sans"/>
          <w:color w:val="1F497D" w:themeColor="text2"/>
          <w:sz w:val="24"/>
          <w:szCs w:val="24"/>
        </w:rPr>
        <w:t xml:space="preserve">We will continue </w:t>
      </w:r>
      <w:r w:rsidR="00393975" w:rsidRPr="00E20D86">
        <w:rPr>
          <w:rFonts w:ascii="Open Sans" w:hAnsi="Open Sans" w:cs="Open Sans"/>
          <w:color w:val="1F497D" w:themeColor="text2"/>
          <w:sz w:val="24"/>
          <w:szCs w:val="24"/>
        </w:rPr>
        <w:t>promoting anti-racism</w:t>
      </w:r>
      <w:r w:rsidR="002726C0" w:rsidRPr="00E20D86">
        <w:rPr>
          <w:rFonts w:ascii="Open Sans" w:hAnsi="Open Sans" w:cs="Open Sans"/>
          <w:color w:val="1F497D" w:themeColor="text2"/>
          <w:sz w:val="24"/>
          <w:szCs w:val="24"/>
        </w:rPr>
        <w:t xml:space="preserve"> and Black History 365</w:t>
      </w:r>
      <w:r w:rsidRPr="00E20D86">
        <w:rPr>
          <w:rFonts w:ascii="Open Sans" w:hAnsi="Open Sans" w:cs="Open Sans"/>
          <w:color w:val="1F497D" w:themeColor="text2"/>
          <w:sz w:val="24"/>
          <w:szCs w:val="24"/>
        </w:rPr>
        <w:t>.</w:t>
      </w:r>
    </w:p>
    <w:p w14:paraId="650DB35F" w14:textId="54EBEB8B" w:rsidR="00675E3E" w:rsidRPr="00E20D86" w:rsidRDefault="00292750" w:rsidP="00641C83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E20D86">
        <w:rPr>
          <w:rFonts w:ascii="Open Sans" w:hAnsi="Open Sans" w:cs="Open Sans"/>
          <w:color w:val="1F497D" w:themeColor="text2"/>
          <w:sz w:val="24"/>
          <w:szCs w:val="24"/>
        </w:rPr>
        <w:t>We will continue w</w:t>
      </w:r>
      <w:r w:rsidR="00675E3E" w:rsidRPr="00E20D86">
        <w:rPr>
          <w:rFonts w:ascii="Open Sans" w:hAnsi="Open Sans" w:cs="Open Sans"/>
          <w:color w:val="1F497D" w:themeColor="text2"/>
          <w:sz w:val="24"/>
          <w:szCs w:val="24"/>
        </w:rPr>
        <w:t>orking on making Mid and West Wales a Living Wage region.</w:t>
      </w:r>
    </w:p>
    <w:p w14:paraId="79B81FC4" w14:textId="79DFB390" w:rsidR="009F2321" w:rsidRDefault="009F2321" w:rsidP="00641C83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bookmarkStart w:id="1" w:name="_Hlk108431453"/>
      <w:r w:rsidRPr="00E20D86">
        <w:rPr>
          <w:rFonts w:ascii="Open Sans" w:hAnsi="Open Sans" w:cs="Open Sans"/>
          <w:color w:val="1F497D" w:themeColor="text2"/>
          <w:sz w:val="24"/>
          <w:szCs w:val="24"/>
        </w:rPr>
        <w:t xml:space="preserve">We will continue our study into the impact of the cost of living crisis on our clients. </w:t>
      </w:r>
    </w:p>
    <w:p w14:paraId="15F89CDE" w14:textId="49D22C1A" w:rsidR="00306207" w:rsidRDefault="00306207" w:rsidP="00641C83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>
        <w:rPr>
          <w:rFonts w:ascii="Open Sans" w:hAnsi="Open Sans" w:cs="Open Sans"/>
          <w:color w:val="1F497D" w:themeColor="text2"/>
          <w:sz w:val="24"/>
          <w:szCs w:val="24"/>
        </w:rPr>
        <w:t xml:space="preserve">We are currently looking at a number of options for our next research </w:t>
      </w:r>
      <w:r w:rsidR="009370DE">
        <w:rPr>
          <w:rFonts w:ascii="Open Sans" w:hAnsi="Open Sans" w:cs="Open Sans"/>
          <w:color w:val="1F497D" w:themeColor="text2"/>
          <w:sz w:val="24"/>
          <w:szCs w:val="24"/>
        </w:rPr>
        <w:t>subject.</w:t>
      </w:r>
    </w:p>
    <w:bookmarkEnd w:id="1"/>
    <w:p w14:paraId="4B503AD2" w14:textId="6E52EF74" w:rsidR="008F5BEC" w:rsidRDefault="008F5BEC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7EB9206F" w14:textId="3CDBD18D" w:rsidR="0054022B" w:rsidRDefault="0054022B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5802F0D4" w14:textId="77777777" w:rsidR="0014586F" w:rsidRPr="00E20D86" w:rsidRDefault="0014586F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bookmarkStart w:id="2" w:name="_GoBack"/>
      <w:bookmarkEnd w:id="2"/>
    </w:p>
    <w:p w14:paraId="5FED6387" w14:textId="77777777" w:rsidR="001B7A36" w:rsidRPr="00107695" w:rsidRDefault="001B7A36" w:rsidP="00641C83">
      <w:pPr>
        <w:jc w:val="both"/>
        <w:rPr>
          <w:rFonts w:ascii="Open Sans" w:hAnsi="Open Sans" w:cs="Open Sans"/>
          <w:color w:val="17365D" w:themeColor="text2" w:themeShade="BF"/>
          <w:sz w:val="24"/>
          <w:szCs w:val="24"/>
        </w:rPr>
      </w:pPr>
      <w:r w:rsidRPr="00107695">
        <w:rPr>
          <w:rFonts w:ascii="Open Sans" w:hAnsi="Open Sans" w:cs="Open Sans"/>
          <w:color w:val="17365D" w:themeColor="text2" w:themeShade="BF"/>
          <w:sz w:val="24"/>
          <w:szCs w:val="24"/>
        </w:rPr>
        <w:t>Any questions, comments or ideas please let me know.</w:t>
      </w:r>
    </w:p>
    <w:p w14:paraId="519038A8" w14:textId="77777777" w:rsidR="00F80110" w:rsidRPr="008644ED" w:rsidRDefault="00F80110" w:rsidP="00641C83">
      <w:pPr>
        <w:jc w:val="both"/>
        <w:rPr>
          <w:rFonts w:ascii="Open Sans" w:hAnsi="Open Sans" w:cs="Open Sans"/>
          <w:color w:val="17365D" w:themeColor="text2" w:themeShade="BF"/>
          <w:sz w:val="24"/>
          <w:szCs w:val="24"/>
        </w:rPr>
      </w:pPr>
      <w:r w:rsidRPr="008644ED">
        <w:rPr>
          <w:rFonts w:ascii="Open Sans" w:hAnsi="Open Sans" w:cs="Open Sans"/>
          <w:color w:val="17365D" w:themeColor="text2" w:themeShade="BF"/>
          <w:sz w:val="24"/>
          <w:szCs w:val="24"/>
        </w:rPr>
        <w:t>Pat Dunmore</w:t>
      </w:r>
    </w:p>
    <w:p w14:paraId="24DA76A0" w14:textId="77777777" w:rsidR="00347007" w:rsidRPr="008644ED" w:rsidRDefault="00F80110">
      <w:pPr>
        <w:rPr>
          <w:color w:val="17365D" w:themeColor="text2" w:themeShade="BF"/>
          <w:sz w:val="24"/>
          <w:szCs w:val="24"/>
        </w:rPr>
      </w:pPr>
      <w:r w:rsidRPr="008644ED">
        <w:rPr>
          <w:rFonts w:ascii="Open Sans" w:hAnsi="Open Sans" w:cs="Open Sans"/>
          <w:color w:val="17365D" w:themeColor="text2" w:themeShade="BF"/>
          <w:sz w:val="24"/>
          <w:szCs w:val="24"/>
        </w:rPr>
        <w:t>Making a Difference Manager</w:t>
      </w:r>
    </w:p>
    <w:sectPr w:rsidR="00347007" w:rsidRPr="008644E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E7601" w14:textId="77777777" w:rsidR="002D7B49" w:rsidRDefault="002D7B49" w:rsidP="006B5CA0">
      <w:r>
        <w:separator/>
      </w:r>
    </w:p>
  </w:endnote>
  <w:endnote w:type="continuationSeparator" w:id="0">
    <w:p w14:paraId="05D07CAD" w14:textId="77777777" w:rsidR="002D7B49" w:rsidRDefault="002D7B49" w:rsidP="006B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31505" w14:textId="77777777" w:rsidR="002D7B49" w:rsidRDefault="002D7B4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2638376" wp14:editId="7EB729AB">
          <wp:simplePos x="0" y="0"/>
          <wp:positionH relativeFrom="column">
            <wp:posOffset>-479425</wp:posOffset>
          </wp:positionH>
          <wp:positionV relativeFrom="paragraph">
            <wp:posOffset>-506316</wp:posOffset>
          </wp:positionV>
          <wp:extent cx="3343458" cy="1155939"/>
          <wp:effectExtent l="0" t="0" r="0" b="635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458" cy="115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5A3E96" w14:textId="77777777" w:rsidR="002D7B49" w:rsidRDefault="002D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B9E61" w14:textId="77777777" w:rsidR="002D7B49" w:rsidRDefault="002D7B49" w:rsidP="006B5CA0">
      <w:r>
        <w:separator/>
      </w:r>
    </w:p>
  </w:footnote>
  <w:footnote w:type="continuationSeparator" w:id="0">
    <w:p w14:paraId="76F13A93" w14:textId="77777777" w:rsidR="002D7B49" w:rsidRDefault="002D7B49" w:rsidP="006B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07BB"/>
    <w:multiLevelType w:val="hybridMultilevel"/>
    <w:tmpl w:val="25FA5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513AB"/>
    <w:multiLevelType w:val="hybridMultilevel"/>
    <w:tmpl w:val="715C5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CC4C1D"/>
    <w:multiLevelType w:val="hybridMultilevel"/>
    <w:tmpl w:val="75EA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347EF"/>
    <w:multiLevelType w:val="hybridMultilevel"/>
    <w:tmpl w:val="A47E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A0"/>
    <w:rsid w:val="00011BFE"/>
    <w:rsid w:val="00022324"/>
    <w:rsid w:val="0003146A"/>
    <w:rsid w:val="0003633C"/>
    <w:rsid w:val="0005642D"/>
    <w:rsid w:val="00070802"/>
    <w:rsid w:val="0008026F"/>
    <w:rsid w:val="000B1737"/>
    <w:rsid w:val="000D6FE3"/>
    <w:rsid w:val="000F2FB0"/>
    <w:rsid w:val="00107695"/>
    <w:rsid w:val="001222FD"/>
    <w:rsid w:val="00124D07"/>
    <w:rsid w:val="00130C5E"/>
    <w:rsid w:val="001379D7"/>
    <w:rsid w:val="0014586F"/>
    <w:rsid w:val="001769BF"/>
    <w:rsid w:val="00183270"/>
    <w:rsid w:val="00185BC0"/>
    <w:rsid w:val="00187DEB"/>
    <w:rsid w:val="001A2939"/>
    <w:rsid w:val="001A7B05"/>
    <w:rsid w:val="001B7A36"/>
    <w:rsid w:val="001D2AAF"/>
    <w:rsid w:val="001E2291"/>
    <w:rsid w:val="001E2C9E"/>
    <w:rsid w:val="001F4A38"/>
    <w:rsid w:val="00200A54"/>
    <w:rsid w:val="00204770"/>
    <w:rsid w:val="00212E46"/>
    <w:rsid w:val="00226EA9"/>
    <w:rsid w:val="002726C0"/>
    <w:rsid w:val="00276ED5"/>
    <w:rsid w:val="00292750"/>
    <w:rsid w:val="002B3335"/>
    <w:rsid w:val="002D7B49"/>
    <w:rsid w:val="002E2E81"/>
    <w:rsid w:val="00306207"/>
    <w:rsid w:val="00337E3B"/>
    <w:rsid w:val="00347007"/>
    <w:rsid w:val="0035219F"/>
    <w:rsid w:val="00393975"/>
    <w:rsid w:val="003B4B15"/>
    <w:rsid w:val="003E4A8A"/>
    <w:rsid w:val="004263E4"/>
    <w:rsid w:val="00446438"/>
    <w:rsid w:val="004467A0"/>
    <w:rsid w:val="00453B77"/>
    <w:rsid w:val="00454B23"/>
    <w:rsid w:val="004610DA"/>
    <w:rsid w:val="004769AA"/>
    <w:rsid w:val="00476A44"/>
    <w:rsid w:val="004A148F"/>
    <w:rsid w:val="004A7390"/>
    <w:rsid w:val="00505423"/>
    <w:rsid w:val="005078BD"/>
    <w:rsid w:val="00524DFC"/>
    <w:rsid w:val="00532BBB"/>
    <w:rsid w:val="00535875"/>
    <w:rsid w:val="0054022B"/>
    <w:rsid w:val="0055729C"/>
    <w:rsid w:val="005706DE"/>
    <w:rsid w:val="00576D4E"/>
    <w:rsid w:val="00581F7C"/>
    <w:rsid w:val="005A54A5"/>
    <w:rsid w:val="005D53DE"/>
    <w:rsid w:val="005E0FC9"/>
    <w:rsid w:val="005F05B2"/>
    <w:rsid w:val="00614572"/>
    <w:rsid w:val="006148BA"/>
    <w:rsid w:val="00624FB9"/>
    <w:rsid w:val="00627CC0"/>
    <w:rsid w:val="00641C83"/>
    <w:rsid w:val="00644520"/>
    <w:rsid w:val="006506A7"/>
    <w:rsid w:val="006513B5"/>
    <w:rsid w:val="00675E3E"/>
    <w:rsid w:val="006B5CA0"/>
    <w:rsid w:val="006C684F"/>
    <w:rsid w:val="006D17A1"/>
    <w:rsid w:val="0072088F"/>
    <w:rsid w:val="007300C5"/>
    <w:rsid w:val="00743273"/>
    <w:rsid w:val="007576B8"/>
    <w:rsid w:val="007576E3"/>
    <w:rsid w:val="00766D51"/>
    <w:rsid w:val="0077431F"/>
    <w:rsid w:val="007773BE"/>
    <w:rsid w:val="007A2689"/>
    <w:rsid w:val="007A64DE"/>
    <w:rsid w:val="007C61D0"/>
    <w:rsid w:val="007D2751"/>
    <w:rsid w:val="007F607D"/>
    <w:rsid w:val="00801793"/>
    <w:rsid w:val="00846366"/>
    <w:rsid w:val="00846724"/>
    <w:rsid w:val="00854386"/>
    <w:rsid w:val="008644ED"/>
    <w:rsid w:val="00893343"/>
    <w:rsid w:val="00893885"/>
    <w:rsid w:val="008A6FCA"/>
    <w:rsid w:val="008C769F"/>
    <w:rsid w:val="008E28E8"/>
    <w:rsid w:val="008F5BEC"/>
    <w:rsid w:val="009046EA"/>
    <w:rsid w:val="00936757"/>
    <w:rsid w:val="009370DE"/>
    <w:rsid w:val="00937F6A"/>
    <w:rsid w:val="00940B08"/>
    <w:rsid w:val="00995949"/>
    <w:rsid w:val="009A4CA4"/>
    <w:rsid w:val="009C0FC8"/>
    <w:rsid w:val="009E432C"/>
    <w:rsid w:val="009E6533"/>
    <w:rsid w:val="009F2321"/>
    <w:rsid w:val="009F42A8"/>
    <w:rsid w:val="00A55222"/>
    <w:rsid w:val="00A74FBD"/>
    <w:rsid w:val="00A83109"/>
    <w:rsid w:val="00AA7D75"/>
    <w:rsid w:val="00AB0807"/>
    <w:rsid w:val="00AC56AD"/>
    <w:rsid w:val="00AE6D50"/>
    <w:rsid w:val="00B13691"/>
    <w:rsid w:val="00B138BA"/>
    <w:rsid w:val="00B24A46"/>
    <w:rsid w:val="00B650F2"/>
    <w:rsid w:val="00BA2C59"/>
    <w:rsid w:val="00BD08A7"/>
    <w:rsid w:val="00BE4BA5"/>
    <w:rsid w:val="00BF40EB"/>
    <w:rsid w:val="00C01C1E"/>
    <w:rsid w:val="00C046F9"/>
    <w:rsid w:val="00C07B0E"/>
    <w:rsid w:val="00C07F1C"/>
    <w:rsid w:val="00C22DD7"/>
    <w:rsid w:val="00C60D4A"/>
    <w:rsid w:val="00C800E9"/>
    <w:rsid w:val="00C87762"/>
    <w:rsid w:val="00C906C8"/>
    <w:rsid w:val="00C941CF"/>
    <w:rsid w:val="00CE03B9"/>
    <w:rsid w:val="00D00206"/>
    <w:rsid w:val="00D038CE"/>
    <w:rsid w:val="00D37C04"/>
    <w:rsid w:val="00D40994"/>
    <w:rsid w:val="00D5277C"/>
    <w:rsid w:val="00D75BDD"/>
    <w:rsid w:val="00D821FE"/>
    <w:rsid w:val="00D91CDB"/>
    <w:rsid w:val="00D93C91"/>
    <w:rsid w:val="00DA1850"/>
    <w:rsid w:val="00DA2DC0"/>
    <w:rsid w:val="00DA3DB3"/>
    <w:rsid w:val="00DA6A19"/>
    <w:rsid w:val="00DB31BA"/>
    <w:rsid w:val="00DD74B7"/>
    <w:rsid w:val="00DE089C"/>
    <w:rsid w:val="00DE4788"/>
    <w:rsid w:val="00DE7805"/>
    <w:rsid w:val="00DF04C3"/>
    <w:rsid w:val="00DF6B6B"/>
    <w:rsid w:val="00E20D86"/>
    <w:rsid w:val="00E71B28"/>
    <w:rsid w:val="00E7440F"/>
    <w:rsid w:val="00E77634"/>
    <w:rsid w:val="00E82C5D"/>
    <w:rsid w:val="00EA5E67"/>
    <w:rsid w:val="00EB4D72"/>
    <w:rsid w:val="00EB799D"/>
    <w:rsid w:val="00EE7F7C"/>
    <w:rsid w:val="00F17A38"/>
    <w:rsid w:val="00F271BF"/>
    <w:rsid w:val="00F33764"/>
    <w:rsid w:val="00F3456C"/>
    <w:rsid w:val="00F43A66"/>
    <w:rsid w:val="00F523CE"/>
    <w:rsid w:val="00F5451F"/>
    <w:rsid w:val="00F74AE7"/>
    <w:rsid w:val="00F755FB"/>
    <w:rsid w:val="00F80110"/>
    <w:rsid w:val="00FA1119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1A51686"/>
  <w15:docId w15:val="{5532615B-86D9-40A4-ADE2-38075FD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CA0"/>
  </w:style>
  <w:style w:type="paragraph" w:styleId="Footer">
    <w:name w:val="footer"/>
    <w:basedOn w:val="Normal"/>
    <w:link w:val="FooterChar"/>
    <w:uiPriority w:val="99"/>
    <w:unhideWhenUsed/>
    <w:rsid w:val="006B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CA0"/>
  </w:style>
  <w:style w:type="paragraph" w:styleId="BalloonText">
    <w:name w:val="Balloon Text"/>
    <w:basedOn w:val="Normal"/>
    <w:link w:val="BalloonTextChar"/>
    <w:uiPriority w:val="99"/>
    <w:semiHidden/>
    <w:unhideWhenUsed/>
    <w:rsid w:val="006B5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70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8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4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itizensadvicesnpt.org.uk/wp-content/uploads/disconnected-how-digital-exclusion-blocks-access-to-universal-credi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5798-EAF9-425A-BA54-2A509B92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Dunmore</dc:creator>
  <cp:lastModifiedBy>Pat Dunmore</cp:lastModifiedBy>
  <cp:revision>5</cp:revision>
  <dcterms:created xsi:type="dcterms:W3CDTF">2025-02-05T12:32:00Z</dcterms:created>
  <dcterms:modified xsi:type="dcterms:W3CDTF">2025-02-07T11:39:00Z</dcterms:modified>
</cp:coreProperties>
</file>